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0C" w:rsidRPr="00B4427A" w:rsidRDefault="000E599D">
      <w:pPr>
        <w:rPr>
          <w:b/>
          <w:lang/>
        </w:rPr>
      </w:pPr>
      <w:r w:rsidRPr="00B4427A">
        <w:rPr>
          <w:b/>
          <w:lang/>
        </w:rPr>
        <w:t>Стратегије васпитно-образовног рада</w:t>
      </w:r>
    </w:p>
    <w:p w:rsidR="000E599D" w:rsidRPr="00B4427A" w:rsidRDefault="000E599D">
      <w:pPr>
        <w:rPr>
          <w:b/>
          <w:lang/>
        </w:rPr>
      </w:pPr>
      <w:r w:rsidRPr="00B4427A">
        <w:rPr>
          <w:b/>
          <w:lang/>
        </w:rPr>
        <w:t>Питања за колоквијум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Дефиниши појам стратегија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Савремена парадигма детета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Холистички приступ дечијој личности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Објасни појам резилијентност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Објасни појам диспозиција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Алтруизам је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Емпатија је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Стадијуми интелектуалног развоја/Пијаже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Задаци интелектуалног васпитања су: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Емоционални развој подразумева: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Развој идентитета обухвата: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Социјални развој обухвата: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Фазе  моралног развоја/Колберг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Задаци моралног васпитања: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Физички развој обухвата: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Задаци физичког развоја су: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Кључне образовне компетенције на предшколском узрасту су:</w:t>
      </w:r>
    </w:p>
    <w:p w:rsidR="000E599D" w:rsidRDefault="000E599D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Комуникација на матерњем језику </w:t>
      </w:r>
      <w:r w:rsidR="00E40D98">
        <w:rPr>
          <w:lang/>
        </w:rPr>
        <w:t>обухвата: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Комуникација на другом језику обухвата: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Матемтичке, научне, технолошке компетенције обухватају: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Дигитална компетенција обухвата: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Учење учења обухвата: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Друштвене и грађанске компетенције обухватају: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Иницијатива и предузетништво обухвата: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Културолошка свест и изражавање обухвата: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Објасни рефлексивност васпитача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Улога локалне заједнице у реализацији програма 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Наведи 4 циља образовања и васпитања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4 циља предшколског васпитања и образовања су: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Општи циљеви Основа програма предшколског васпитања и образовања су: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Подршка добробити детета се реализује кроз која три сегмента: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Развијање персоналне добити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Развијање делатне добити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Развијање социјалне добити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Области кваитета рада предшколске установе су: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Сегменти квалитета васпитно-образовног рада су: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Сегменти квалитета подршке деци и породици су:</w:t>
      </w:r>
    </w:p>
    <w:p w:rsidR="00E40D98" w:rsidRDefault="00E40D98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Професионална заједница учења 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lastRenderedPageBreak/>
        <w:t>Управљање и организација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Појам компетенција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Подручја компетенција васпитача су: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Димензије компетенције су: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Непосредни рада са децом обухвата знања: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Развијање сарадње и заједнице учења обухвата знања: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Развијање професионалне праксе обухвата знања: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Стратегије васпитања/Богнар: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Објасни стратегију егзистенције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Објасни стратегију социјализације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Објасни стратегију индивидуализације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Наведи стратегије учења/Богнар, Матијевић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Методе поучавања су: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Методе откривања су: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Методе доживљавања су: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Методе изражавања су: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Методе вежбања су: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Етапе директног поучавања: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Вештине праћења процеса поучавања су: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Процес решавања проблема/фазе:</w:t>
      </w:r>
    </w:p>
    <w:p w:rsidR="00F57DD7" w:rsidRDefault="00F57DD7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Савремена комуникациона парадигма</w:t>
      </w:r>
    </w:p>
    <w:p w:rsidR="00BF28CE" w:rsidRDefault="00BF28CE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Вишеструка интелигенија/Гарднер садржи следеће интелигенције:</w:t>
      </w:r>
    </w:p>
    <w:p w:rsidR="00BF28CE" w:rsidRDefault="00EB69EA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Подстицаји</w:t>
      </w:r>
      <w:r w:rsidR="00BF28CE">
        <w:rPr>
          <w:lang/>
        </w:rPr>
        <w:t xml:space="preserve"> развоју лингвистичке интелигенције путем:</w:t>
      </w:r>
    </w:p>
    <w:p w:rsidR="00BF28CE" w:rsidRDefault="00EB69EA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Подстицаји</w:t>
      </w:r>
      <w:r w:rsidR="00BF28CE">
        <w:rPr>
          <w:lang/>
        </w:rPr>
        <w:t xml:space="preserve"> развоју логичко-математичке интелигенције путем:</w:t>
      </w:r>
    </w:p>
    <w:p w:rsidR="00BF28CE" w:rsidRDefault="00EB69EA" w:rsidP="000E59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Подстицаји</w:t>
      </w:r>
      <w:r w:rsidR="00BF28CE">
        <w:rPr>
          <w:lang/>
        </w:rPr>
        <w:t xml:space="preserve"> развоју просторне интелигенције путем:</w:t>
      </w:r>
    </w:p>
    <w:p w:rsidR="00BF28CE" w:rsidRDefault="00EB69EA" w:rsidP="00BF28C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Подстицаји</w:t>
      </w:r>
      <w:r w:rsidR="00BF28CE">
        <w:rPr>
          <w:lang/>
        </w:rPr>
        <w:t xml:space="preserve"> развоју телесно-кинестетичке интелигенције путем:</w:t>
      </w:r>
    </w:p>
    <w:p w:rsidR="00BF28CE" w:rsidRDefault="00EB69EA" w:rsidP="00BF28C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Подстицаји</w:t>
      </w:r>
      <w:r w:rsidR="00BF28CE">
        <w:rPr>
          <w:lang/>
        </w:rPr>
        <w:t xml:space="preserve"> развоју музичке интелигенције путем:</w:t>
      </w:r>
    </w:p>
    <w:p w:rsidR="00BF28CE" w:rsidRDefault="00EB69EA" w:rsidP="00BF28C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Подстицаји</w:t>
      </w:r>
      <w:r w:rsidR="00BF28CE">
        <w:rPr>
          <w:lang/>
        </w:rPr>
        <w:t xml:space="preserve"> развоју односа с природом путем:</w:t>
      </w:r>
    </w:p>
    <w:p w:rsidR="00BF28CE" w:rsidRDefault="00EB69EA" w:rsidP="00BF28C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Подстицаји</w:t>
      </w:r>
      <w:r w:rsidR="00BF28CE">
        <w:rPr>
          <w:lang/>
        </w:rPr>
        <w:t xml:space="preserve"> развоју интерперсоналне интелигенције путем:</w:t>
      </w:r>
    </w:p>
    <w:p w:rsidR="00BF28CE" w:rsidRDefault="00EB69EA" w:rsidP="00BF28C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Подстицаји</w:t>
      </w:r>
      <w:r w:rsidR="00BF28CE">
        <w:rPr>
          <w:lang/>
        </w:rPr>
        <w:t xml:space="preserve"> развоју интраперсоналне интелигенције путем:</w:t>
      </w:r>
    </w:p>
    <w:p w:rsidR="00BF28CE" w:rsidRDefault="002A38CE" w:rsidP="00BF28C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Подстицајни облици рада су:</w:t>
      </w:r>
    </w:p>
    <w:p w:rsidR="002A38CE" w:rsidRPr="000E599D" w:rsidRDefault="00B4427A" w:rsidP="00BF28C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Сараднички облици имају фазе:</w:t>
      </w:r>
    </w:p>
    <w:p w:rsidR="00B4427A" w:rsidRDefault="00B4427A" w:rsidP="00B4427A">
      <w:pPr>
        <w:pStyle w:val="ListParagraph"/>
        <w:rPr>
          <w:lang/>
        </w:rPr>
      </w:pPr>
    </w:p>
    <w:p w:rsidR="00B4427A" w:rsidRDefault="00B4427A" w:rsidP="00B4427A">
      <w:pPr>
        <w:pStyle w:val="ListParagraph"/>
        <w:rPr>
          <w:lang/>
        </w:rPr>
      </w:pPr>
    </w:p>
    <w:p w:rsidR="00B4427A" w:rsidRDefault="00B4427A" w:rsidP="00B4427A">
      <w:pPr>
        <w:pStyle w:val="ListParagraph"/>
        <w:rPr>
          <w:lang/>
        </w:rPr>
      </w:pPr>
    </w:p>
    <w:p w:rsidR="00B4427A" w:rsidRPr="00B4427A" w:rsidRDefault="00B4427A" w:rsidP="00B4427A">
      <w:pPr>
        <w:pStyle w:val="ListParagraph"/>
        <w:rPr>
          <w:lang/>
        </w:rPr>
      </w:pPr>
      <w:r>
        <w:rPr>
          <w:lang/>
        </w:rPr>
        <w:t>У Алексинцу, 14.11.2019.                  др Весна Краварушић, професор струковних студија</w:t>
      </w:r>
    </w:p>
    <w:sectPr w:rsidR="00B4427A" w:rsidRPr="00B4427A" w:rsidSect="0041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2681"/>
    <w:multiLevelType w:val="hybridMultilevel"/>
    <w:tmpl w:val="1BE8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99D"/>
    <w:rsid w:val="000E599D"/>
    <w:rsid w:val="002A38CE"/>
    <w:rsid w:val="00414A0C"/>
    <w:rsid w:val="00B4427A"/>
    <w:rsid w:val="00BF28CE"/>
    <w:rsid w:val="00E40D98"/>
    <w:rsid w:val="00EB69EA"/>
    <w:rsid w:val="00F5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10</cp:revision>
  <dcterms:created xsi:type="dcterms:W3CDTF">2019-11-14T10:54:00Z</dcterms:created>
  <dcterms:modified xsi:type="dcterms:W3CDTF">2019-11-14T12:58:00Z</dcterms:modified>
</cp:coreProperties>
</file>